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24 104 vom 14. Januar 2026</w:t>
      </w:r>
    </w:p>
    <w:p>
      <w:r>
        <w:t>BL Gerichte, 2026-01-14, DE</w:t>
      </w:r>
    </w:p>
    <w:p>
      <w:r>
        <w:rPr>
          <w:b/>
        </w:rPr>
        <w:t xml:space="preserve">Quelle: </w:t>
      </w:r>
      <w:r>
        <w:t>https://mcp.opencaselaw.ch/entscheid/bl_gerichte_745 24 104</w:t>
      </w:r>
    </w:p>
    <w:p>
      <w:r>
        <w:t>FR: BL_GERICHTE 745 24 104 du 14 janvier 2026</w:t>
      </w:r>
    </w:p>
    <w:p>
      <w:r>
        <w:t>IT: BL_GERICHTE 745 24 104 del 14 gennaio 2026</w:t>
      </w:r>
    </w:p>
    <w:p>
      <w:pPr>
        <w:pStyle w:val="Heading2"/>
      </w:pPr>
      <w:r>
        <w:t>Regeste</w:t>
      </w:r>
    </w:p>
    <w:p>
      <w:r>
        <w:t>Kein Anspruch auf eine Parteientschädigung einer berufsmässigen Vertretung ohne Eintragung im Anwaltsregister. Prüfung des Anspruchs der versicherten Person auf Entschädigung für ihren eigenen, persönlichen Arbeitsaufwand und ihre Umtriebe.</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im Übrigen form- und fristgerecht eingereichte Beschwerde vom 19. April 2024 ist einzutreten. 2.1 Streitgegenstand des vorliegenden Verfahrens bildet der Einspracheentscheid der Ausgleichskasse vom 20. März 2024, mit welchem vom Versicherten wegen zu viel geleisteter EL und zu viel ausgerichteter Krankenkassenprämien ein Betrag von insgesamt Fr. 12'988.-- (EL: Fr. 8'645.-- + Krankenkassenprämien: Fr. 4'343.--) zurückgefordert wurde. Im Rahmen des Beschwerdeverfahrens reduzierte die Ausgleichskasse gestützt auf die Vorbringen des Versicherten mit Vernehmlassung vom 11. Juli 2024 den Rückforderungsbetrag wegen zu viel geleisteter EL von Fr. 8'645.-- auf Fr. 7'747.--. Nachdem das Kantonsgericht die Ausgleichskasse zur Erläuterung ihrer Berechnung des Rückforderungsbetrages aufgefordert hatte, gelangte die Ausgleichskasse am 14. Januar 2025 zur Auffassung, dass sich der EL-Rückforderungsbetrag auf Fr. 6'961.-- (Fr. 8'645.-- - Fr. 1'684.--) belaufe. Schliesslich beantragte die Ausgleichskasse am 27. März 2025 aufgrund der vom Versicherten im Schreiben vom 13. Februar 2025 erhobenen Einwände, es sei die Angelegenheit zur vertieften Überprüfung und anschliessender Neuverfügung an sie zurückzuweisen. Diesem Antrag stimmte der Versicherte mit Schreiben vom 28. Mai 2025 zu. 2.2 Im Ergebnis liegen damit übereinstimmende Parteianträge vor. Gemäss § 58 Abs. 1 VPO ist das Kantonsgericht zwar nicht an die Parteibegehren gebunden, nach Einsichtnahme in die Rechtsschriften des Versicherten und der Ausgleichskasse sowie in die Verfahrensakten und in Berücksichtigung der massgebenden gesetzlichen Bestimmungen sind jedoch keine Gründe ersichtlich, weshalb den übereinstimmenden Parteianträgen nicht stattzugeben wäre. 2.3 Aus dem Gesagten folgt als Ergebnis, dass in Gutheissung der Beschwerde die angefochtene Verfügung aufgehoben und die Angelegenheit zur vertieften Überprüfung des EL-Anspruchs des Versicherten ab 1. April 2019 und zum Erlass einer neuen Verfügung an die Vorinstanz zurückgewiesen wird.</w:t>
      </w:r>
    </w:p>
    <w:p>
      <w:r>
        <w:rPr>
          <w:b/>
        </w:rPr>
        <w:t>E. 3</w:t>
      </w:r>
    </w:p>
    <w:p>
      <w:r>
        <w:t>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